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18636" w14:textId="74FCDA03" w:rsidR="00294C80" w:rsidRPr="0027134F" w:rsidRDefault="005B75E0">
      <w:pPr>
        <w:rPr>
          <w:rFonts w:cstheme="minorHAnsi"/>
          <w:sz w:val="19"/>
          <w:szCs w:val="19"/>
        </w:rPr>
      </w:pPr>
      <w:r w:rsidRPr="0027134F">
        <w:rPr>
          <w:rFonts w:cstheme="minorHAnsi"/>
          <w:sz w:val="19"/>
          <w:szCs w:val="19"/>
        </w:rPr>
        <w:t>At Miltope Corporation, our commitment to compliance with U.S. trade control laws and regulations is paramount. Our operations adhere to the International Traffic in Arms Regulations (ITAR), Export Administration Regulations (EAR), U.S. Customs laws, and the Office of Foreign Assets Control (OFAC) regulations – collectively referred to hereafter as “Trade Control Laws”. This is not just policy; it’s a reflection of our values</w:t>
      </w:r>
      <w:r w:rsidR="00823E95" w:rsidRPr="0027134F">
        <w:rPr>
          <w:rFonts w:cstheme="minorHAnsi"/>
          <w:sz w:val="19"/>
          <w:szCs w:val="19"/>
        </w:rPr>
        <w:t xml:space="preserve"> and an integral part of our mission to contribute positively to our global community. Central to our operations is the principle of integ</w:t>
      </w:r>
      <w:r w:rsidR="00A641D7" w:rsidRPr="0027134F">
        <w:rPr>
          <w:rFonts w:cstheme="minorHAnsi"/>
          <w:sz w:val="19"/>
          <w:szCs w:val="19"/>
        </w:rPr>
        <w:t>rity, which mandates that the responsibility for compliance is shared among all of us. Miltope is fully aware of the critical role we play in preventing the unauthorized dissemination of sensitive technologies and materials.</w:t>
      </w:r>
    </w:p>
    <w:p w14:paraId="0A6C8301" w14:textId="7FEA7C00" w:rsidR="00A641D7" w:rsidRPr="0027134F" w:rsidRDefault="00A641D7">
      <w:pPr>
        <w:rPr>
          <w:rFonts w:cstheme="minorHAnsi"/>
          <w:sz w:val="19"/>
          <w:szCs w:val="19"/>
        </w:rPr>
      </w:pPr>
    </w:p>
    <w:p w14:paraId="61A40682" w14:textId="2344A213" w:rsidR="00A641D7" w:rsidRPr="0027134F" w:rsidRDefault="00A641D7">
      <w:pPr>
        <w:rPr>
          <w:rFonts w:cstheme="minorHAnsi"/>
          <w:sz w:val="19"/>
          <w:szCs w:val="19"/>
        </w:rPr>
      </w:pPr>
      <w:r w:rsidRPr="0027134F">
        <w:rPr>
          <w:rFonts w:cstheme="minorHAnsi"/>
          <w:sz w:val="19"/>
          <w:szCs w:val="19"/>
        </w:rPr>
        <w:t>This commitment extends beyond individual actions to encompass our entire corporate family. We hold ourselves to the highest ethical standards, reflecting our unwavering commitment to legal compliance and corporate responsibility. By fostering a culture of transparency and accountability, we safeguard against potential violations and maintain the trust of our customers and the communities we serve.</w:t>
      </w:r>
    </w:p>
    <w:p w14:paraId="27B3CEDE" w14:textId="3813F4CA" w:rsidR="00A641D7" w:rsidRPr="0027134F" w:rsidRDefault="00A641D7">
      <w:pPr>
        <w:rPr>
          <w:rFonts w:cstheme="minorHAnsi"/>
          <w:sz w:val="19"/>
          <w:szCs w:val="19"/>
        </w:rPr>
      </w:pPr>
    </w:p>
    <w:p w14:paraId="70A2B090" w14:textId="76B8FE44" w:rsidR="00A641D7" w:rsidRPr="0027134F" w:rsidRDefault="00A641D7">
      <w:pPr>
        <w:rPr>
          <w:rFonts w:cstheme="minorHAnsi"/>
          <w:sz w:val="19"/>
          <w:szCs w:val="19"/>
        </w:rPr>
      </w:pPr>
      <w:r w:rsidRPr="0027134F">
        <w:rPr>
          <w:rFonts w:cstheme="minorHAnsi"/>
          <w:sz w:val="19"/>
          <w:szCs w:val="19"/>
        </w:rPr>
        <w:t>Accordingly, every individual within our company, withou</w:t>
      </w:r>
      <w:r w:rsidR="00115234">
        <w:rPr>
          <w:rFonts w:cstheme="minorHAnsi"/>
          <w:sz w:val="19"/>
          <w:szCs w:val="19"/>
        </w:rPr>
        <w:t>t</w:t>
      </w:r>
      <w:r w:rsidRPr="0027134F">
        <w:rPr>
          <w:rFonts w:cstheme="minorHAnsi"/>
          <w:sz w:val="19"/>
          <w:szCs w:val="19"/>
        </w:rPr>
        <w:t xml:space="preserve"> exception, is required to strictly follow U.S. Trade Control Laws. This comprehensive adherence applies to all forms of export, including re-exports and transfers of foreign-produced items that fall under U.S. Jurisdiction. Our employees, regardless of their location, must secure proper authorization for all </w:t>
      </w:r>
      <w:proofErr w:type="spellStart"/>
      <w:r w:rsidRPr="0027134F">
        <w:rPr>
          <w:rFonts w:cstheme="minorHAnsi"/>
          <w:sz w:val="19"/>
          <w:szCs w:val="19"/>
        </w:rPr>
        <w:t>activites</w:t>
      </w:r>
      <w:proofErr w:type="spellEnd"/>
      <w:r w:rsidRPr="0027134F">
        <w:rPr>
          <w:rFonts w:cstheme="minorHAnsi"/>
          <w:sz w:val="19"/>
          <w:szCs w:val="19"/>
        </w:rPr>
        <w:t xml:space="preserve"> </w:t>
      </w:r>
      <w:r w:rsidR="00982C3D" w:rsidRPr="0027134F">
        <w:rPr>
          <w:rFonts w:cstheme="minorHAnsi"/>
          <w:sz w:val="19"/>
          <w:szCs w:val="19"/>
        </w:rPr>
        <w:t>potentially affected by Trade Control Laws.</w:t>
      </w:r>
    </w:p>
    <w:p w14:paraId="5BDC40B7" w14:textId="77777777" w:rsidR="00AB2295" w:rsidRPr="0027134F" w:rsidRDefault="00AB2295">
      <w:pPr>
        <w:rPr>
          <w:rFonts w:cstheme="minorHAnsi"/>
          <w:sz w:val="19"/>
          <w:szCs w:val="19"/>
        </w:rPr>
      </w:pPr>
    </w:p>
    <w:p w14:paraId="050CDC63" w14:textId="21ADCB5B" w:rsidR="00AB2295" w:rsidRPr="0027134F" w:rsidRDefault="00982C3D" w:rsidP="00AB2295">
      <w:pPr>
        <w:rPr>
          <w:rFonts w:cstheme="minorHAnsi"/>
          <w:sz w:val="19"/>
          <w:szCs w:val="19"/>
        </w:rPr>
      </w:pPr>
      <w:r w:rsidRPr="0027134F">
        <w:rPr>
          <w:rFonts w:cstheme="minorHAnsi"/>
          <w:sz w:val="19"/>
          <w:szCs w:val="19"/>
        </w:rPr>
        <w:t>Recognizing the complexities of Trade Control Laws, we foster an environment where employees can readily seek guidance and report concerns. T</w:t>
      </w:r>
      <w:r w:rsidR="00115234">
        <w:rPr>
          <w:rFonts w:cstheme="minorHAnsi"/>
          <w:sz w:val="19"/>
          <w:szCs w:val="19"/>
        </w:rPr>
        <w:t>o</w:t>
      </w:r>
      <w:r w:rsidRPr="0027134F">
        <w:rPr>
          <w:rFonts w:cstheme="minorHAnsi"/>
          <w:sz w:val="19"/>
          <w:szCs w:val="19"/>
        </w:rPr>
        <w:t xml:space="preserve"> facilitate this, we provided the following e</w:t>
      </w:r>
      <w:r w:rsidR="00115234">
        <w:rPr>
          <w:rFonts w:cstheme="minorHAnsi"/>
          <w:sz w:val="19"/>
          <w:szCs w:val="19"/>
        </w:rPr>
        <w:t>scalation</w:t>
      </w:r>
      <w:r w:rsidRPr="0027134F">
        <w:rPr>
          <w:rFonts w:cstheme="minorHAnsi"/>
          <w:sz w:val="19"/>
          <w:szCs w:val="19"/>
        </w:rPr>
        <w:t xml:space="preserve"> channel:</w:t>
      </w:r>
    </w:p>
    <w:p w14:paraId="3CDEA846" w14:textId="2B78FD12" w:rsidR="00982C3D" w:rsidRPr="00CD7EE0" w:rsidRDefault="00CD7EE0" w:rsidP="00AB2295">
      <w:pPr>
        <w:rPr>
          <w:rFonts w:cstheme="minorHAnsi"/>
          <w:b/>
          <w:bCs/>
          <w:sz w:val="18"/>
          <w:szCs w:val="18"/>
        </w:rPr>
      </w:pPr>
      <w:r w:rsidRPr="00CD7EE0">
        <w:rPr>
          <w:b/>
          <w:bCs/>
          <w:sz w:val="18"/>
          <w:szCs w:val="18"/>
        </w:rPr>
        <w:t>Ethics</w:t>
      </w:r>
      <w:r w:rsidR="00387438" w:rsidRPr="00CD7EE0">
        <w:rPr>
          <w:b/>
          <w:bCs/>
          <w:sz w:val="18"/>
          <w:szCs w:val="18"/>
        </w:rPr>
        <w:t xml:space="preserve"> Hotline </w:t>
      </w:r>
      <w:r w:rsidR="00982C3D" w:rsidRPr="00CD7EE0">
        <w:rPr>
          <w:rFonts w:cstheme="minorHAnsi"/>
          <w:b/>
          <w:bCs/>
          <w:sz w:val="18"/>
          <w:szCs w:val="18"/>
        </w:rPr>
        <w:t>(</w:t>
      </w:r>
      <w:r w:rsidR="00387438" w:rsidRPr="00CD7EE0">
        <w:rPr>
          <w:rFonts w:cstheme="minorHAnsi"/>
          <w:b/>
          <w:bCs/>
          <w:sz w:val="18"/>
          <w:szCs w:val="18"/>
        </w:rPr>
        <w:t>334</w:t>
      </w:r>
      <w:r w:rsidR="00982C3D" w:rsidRPr="00CD7EE0">
        <w:rPr>
          <w:rFonts w:cstheme="minorHAnsi"/>
          <w:b/>
          <w:bCs/>
          <w:sz w:val="18"/>
          <w:szCs w:val="18"/>
        </w:rPr>
        <w:t xml:space="preserve">) </w:t>
      </w:r>
      <w:r w:rsidR="00387438" w:rsidRPr="00CD7EE0">
        <w:rPr>
          <w:rFonts w:cstheme="minorHAnsi"/>
          <w:b/>
          <w:bCs/>
          <w:sz w:val="18"/>
          <w:szCs w:val="18"/>
        </w:rPr>
        <w:t>613</w:t>
      </w:r>
      <w:r w:rsidR="00982C3D" w:rsidRPr="00CD7EE0">
        <w:rPr>
          <w:rFonts w:cstheme="minorHAnsi"/>
          <w:b/>
          <w:bCs/>
          <w:sz w:val="18"/>
          <w:szCs w:val="18"/>
        </w:rPr>
        <w:t>-</w:t>
      </w:r>
      <w:r w:rsidR="00387438" w:rsidRPr="00CD7EE0">
        <w:rPr>
          <w:rFonts w:cstheme="minorHAnsi"/>
          <w:b/>
          <w:bCs/>
          <w:sz w:val="18"/>
          <w:szCs w:val="18"/>
        </w:rPr>
        <w:t>630</w:t>
      </w:r>
      <w:r w:rsidRPr="00CD7EE0">
        <w:rPr>
          <w:rFonts w:cstheme="minorHAnsi"/>
          <w:b/>
          <w:bCs/>
          <w:sz w:val="18"/>
          <w:szCs w:val="18"/>
        </w:rPr>
        <w:t>4</w:t>
      </w:r>
    </w:p>
    <w:p w14:paraId="08AD218B" w14:textId="74EC9694" w:rsidR="00982C3D" w:rsidRPr="0027134F" w:rsidRDefault="00982C3D" w:rsidP="00982C3D">
      <w:pPr>
        <w:pStyle w:val="BodyText"/>
        <w:spacing w:line="300" w:lineRule="auto"/>
        <w:ind w:right="122"/>
        <w:rPr>
          <w:rFonts w:asciiTheme="minorHAnsi" w:hAnsiTheme="minorHAnsi" w:cstheme="minorHAnsi"/>
        </w:rPr>
      </w:pPr>
    </w:p>
    <w:p w14:paraId="335997BD" w14:textId="7D30F982" w:rsidR="00982C3D" w:rsidRPr="0027134F" w:rsidRDefault="00982C3D" w:rsidP="00982C3D">
      <w:pPr>
        <w:pStyle w:val="BodyText"/>
        <w:spacing w:line="300" w:lineRule="auto"/>
        <w:ind w:right="122"/>
        <w:rPr>
          <w:rFonts w:asciiTheme="minorHAnsi" w:hAnsiTheme="minorHAnsi" w:cstheme="minorHAnsi"/>
        </w:rPr>
      </w:pPr>
      <w:r w:rsidRPr="0027134F">
        <w:rPr>
          <w:rFonts w:asciiTheme="minorHAnsi" w:hAnsiTheme="minorHAnsi" w:cstheme="minorHAnsi"/>
        </w:rPr>
        <w:t>We stand united with our parent company ST Engineering North America (STENA) in our dedication to safeguarding global security and sustainability through adherence to these principles. Our commitment to trade compliance is unwavering, and we expect the same high standard from all</w:t>
      </w:r>
      <w:r w:rsidR="0027134F">
        <w:rPr>
          <w:rFonts w:asciiTheme="minorHAnsi" w:hAnsiTheme="minorHAnsi" w:cstheme="minorHAnsi"/>
        </w:rPr>
        <w:t xml:space="preserve"> of</w:t>
      </w:r>
      <w:r w:rsidRPr="0027134F">
        <w:rPr>
          <w:rFonts w:asciiTheme="minorHAnsi" w:hAnsiTheme="minorHAnsi" w:cstheme="minorHAnsi"/>
        </w:rPr>
        <w:t xml:space="preserve"> our employees.</w:t>
      </w:r>
    </w:p>
    <w:p w14:paraId="57EAE541" w14:textId="6969DE41" w:rsidR="00982C3D" w:rsidRPr="0027134F" w:rsidRDefault="00982C3D" w:rsidP="00982C3D">
      <w:pPr>
        <w:pStyle w:val="BodyText"/>
        <w:spacing w:line="300" w:lineRule="auto"/>
        <w:ind w:right="122"/>
        <w:rPr>
          <w:rFonts w:asciiTheme="minorHAnsi" w:hAnsiTheme="minorHAnsi" w:cstheme="minorHAnsi"/>
        </w:rPr>
      </w:pPr>
    </w:p>
    <w:p w14:paraId="1D80562E" w14:textId="634B5E46" w:rsidR="00982C3D" w:rsidRPr="0027134F" w:rsidRDefault="00982C3D" w:rsidP="00982C3D">
      <w:pPr>
        <w:pStyle w:val="BodyText"/>
        <w:spacing w:line="300" w:lineRule="auto"/>
        <w:ind w:right="122"/>
        <w:rPr>
          <w:rFonts w:asciiTheme="minorHAnsi" w:hAnsiTheme="minorHAnsi" w:cstheme="minorHAnsi"/>
        </w:rPr>
      </w:pPr>
    </w:p>
    <w:p w14:paraId="4A2B037D" w14:textId="77777777" w:rsidR="00AA122D" w:rsidRPr="0027134F" w:rsidRDefault="00AA122D" w:rsidP="00AA122D">
      <w:pPr>
        <w:pStyle w:val="BodyText"/>
        <w:spacing w:line="300" w:lineRule="auto"/>
        <w:ind w:right="122" w:firstLine="151"/>
        <w:rPr>
          <w:rFonts w:asciiTheme="minorHAnsi" w:hAnsiTheme="minorHAnsi" w:cstheme="minorHAnsi"/>
          <w:color w:val="282D33"/>
          <w:w w:val="105"/>
        </w:rPr>
      </w:pPr>
    </w:p>
    <w:p w14:paraId="0DEB2F30" w14:textId="091D7555" w:rsidR="00AA122D" w:rsidRPr="0027134F" w:rsidRDefault="00AB2295" w:rsidP="0027134F">
      <w:pPr>
        <w:pStyle w:val="BodyText"/>
        <w:spacing w:line="300" w:lineRule="auto"/>
        <w:ind w:right="122"/>
        <w:rPr>
          <w:rFonts w:asciiTheme="minorHAnsi" w:hAnsiTheme="minorHAnsi" w:cstheme="minorHAnsi"/>
          <w:color w:val="282D33"/>
          <w:w w:val="105"/>
        </w:rPr>
      </w:pPr>
      <w:r w:rsidRPr="0027134F">
        <w:rPr>
          <w:rFonts w:asciiTheme="minorHAnsi" w:hAnsiTheme="minorHAnsi" w:cstheme="minorHAnsi"/>
          <w:color w:val="282D33"/>
          <w:w w:val="105"/>
        </w:rPr>
        <w:t>Dianne Howells</w:t>
      </w:r>
    </w:p>
    <w:p w14:paraId="7F7390C8" w14:textId="05EFE55A" w:rsidR="00AB2295" w:rsidRPr="0027134F" w:rsidRDefault="00AB2295" w:rsidP="0027134F">
      <w:pPr>
        <w:pStyle w:val="BodyText"/>
        <w:spacing w:line="300" w:lineRule="auto"/>
        <w:ind w:right="122"/>
        <w:rPr>
          <w:rFonts w:asciiTheme="minorHAnsi" w:hAnsiTheme="minorHAnsi" w:cstheme="minorHAnsi"/>
          <w:color w:val="282D33"/>
          <w:w w:val="105"/>
        </w:rPr>
      </w:pPr>
      <w:r w:rsidRPr="0027134F">
        <w:rPr>
          <w:rFonts w:asciiTheme="minorHAnsi" w:hAnsiTheme="minorHAnsi" w:cstheme="minorHAnsi"/>
          <w:color w:val="282D33"/>
          <w:w w:val="105"/>
        </w:rPr>
        <w:t>President &amp; CEO</w:t>
      </w:r>
    </w:p>
    <w:p w14:paraId="0F8656E0" w14:textId="77777777" w:rsidR="00AB2295" w:rsidRPr="0027134F" w:rsidRDefault="00AB2295" w:rsidP="0027134F">
      <w:pPr>
        <w:pStyle w:val="BodyText"/>
        <w:spacing w:line="300" w:lineRule="auto"/>
        <w:ind w:right="122"/>
        <w:rPr>
          <w:rFonts w:asciiTheme="minorHAnsi" w:hAnsiTheme="minorHAnsi" w:cstheme="minorHAnsi"/>
          <w:color w:val="282D33"/>
          <w:w w:val="105"/>
        </w:rPr>
      </w:pPr>
      <w:r w:rsidRPr="0027134F">
        <w:rPr>
          <w:rFonts w:asciiTheme="minorHAnsi" w:hAnsiTheme="minorHAnsi" w:cstheme="minorHAnsi"/>
          <w:color w:val="282D33"/>
          <w:w w:val="105"/>
        </w:rPr>
        <w:t>Miltope Corporation</w:t>
      </w:r>
    </w:p>
    <w:p w14:paraId="5D6CA115" w14:textId="77777777" w:rsidR="00AB2295" w:rsidRPr="00523A17" w:rsidRDefault="00AB2295" w:rsidP="00982C3D">
      <w:pPr>
        <w:pStyle w:val="BodyText"/>
        <w:spacing w:line="300" w:lineRule="auto"/>
        <w:ind w:right="122"/>
      </w:pPr>
    </w:p>
    <w:p w14:paraId="7D59F292" w14:textId="77777777" w:rsidR="00982C3D" w:rsidRDefault="00982C3D"/>
    <w:sectPr w:rsidR="00982C3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E68D3" w14:textId="77777777" w:rsidR="0031493E" w:rsidRDefault="0031493E" w:rsidP="0031493E">
      <w:pPr>
        <w:spacing w:after="0" w:line="240" w:lineRule="auto"/>
      </w:pPr>
      <w:r>
        <w:separator/>
      </w:r>
    </w:p>
  </w:endnote>
  <w:endnote w:type="continuationSeparator" w:id="0">
    <w:p w14:paraId="07CDDB7C" w14:textId="77777777" w:rsidR="0031493E" w:rsidRDefault="0031493E" w:rsidP="00314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322C4" w14:textId="77777777" w:rsidR="00824C68" w:rsidRDefault="00824C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49D59" w14:textId="77777777" w:rsidR="00824C68" w:rsidRDefault="00824C68">
    <w:pPr>
      <w:pStyle w:val="Footer"/>
    </w:pPr>
  </w:p>
  <w:p w14:paraId="58352CF5" w14:textId="77777777" w:rsidR="00405AAE" w:rsidRDefault="00824C68" w:rsidP="00824C68">
    <w:pPr>
      <w:pStyle w:val="Footer"/>
      <w:jc w:val="right"/>
    </w:pPr>
    <w:r>
      <w:rPr>
        <w:noProof/>
      </w:rPr>
      <w:drawing>
        <wp:inline distT="0" distB="0" distL="0" distR="0" wp14:anchorId="27010D8A" wp14:editId="6E713FC6">
          <wp:extent cx="2159264" cy="601188"/>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383929" cy="66374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F8E7A" w14:textId="77777777" w:rsidR="00824C68" w:rsidRDefault="00824C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6B722" w14:textId="77777777" w:rsidR="0031493E" w:rsidRDefault="0031493E" w:rsidP="0031493E">
      <w:pPr>
        <w:spacing w:after="0" w:line="240" w:lineRule="auto"/>
      </w:pPr>
      <w:r>
        <w:separator/>
      </w:r>
    </w:p>
  </w:footnote>
  <w:footnote w:type="continuationSeparator" w:id="0">
    <w:p w14:paraId="0956D631" w14:textId="77777777" w:rsidR="0031493E" w:rsidRDefault="0031493E" w:rsidP="003149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86D1F" w14:textId="77777777" w:rsidR="00824C68" w:rsidRDefault="00824C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37EA3" w14:textId="77777777" w:rsidR="0031493E" w:rsidRDefault="00D81A3F" w:rsidP="0031493E">
    <w:pPr>
      <w:autoSpaceDE w:val="0"/>
      <w:autoSpaceDN w:val="0"/>
      <w:spacing w:before="60" w:after="60"/>
      <w:ind w:right="2033"/>
      <w:rPr>
        <w:rFonts w:ascii="Arial" w:hAnsi="Arial" w:cs="Arial"/>
        <w:bCs/>
        <w:color w:val="767171" w:themeColor="background2" w:themeShade="80"/>
        <w:sz w:val="20"/>
        <w:szCs w:val="20"/>
        <w:lang w:val="es-MX"/>
      </w:rPr>
    </w:pPr>
    <w:r>
      <w:rPr>
        <w:noProof/>
      </w:rPr>
      <w:drawing>
        <wp:inline distT="0" distB="0" distL="0" distR="0" wp14:anchorId="59F7578C" wp14:editId="00E68821">
          <wp:extent cx="2578100" cy="578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695541" cy="604769"/>
                  </a:xfrm>
                  <a:prstGeom prst="rect">
                    <a:avLst/>
                  </a:prstGeom>
                </pic:spPr>
              </pic:pic>
            </a:graphicData>
          </a:graphic>
        </wp:inline>
      </w:drawing>
    </w:r>
  </w:p>
  <w:p w14:paraId="124E0869" w14:textId="77777777" w:rsidR="00405AAE" w:rsidRDefault="00405AAE" w:rsidP="0031493E">
    <w:pPr>
      <w:autoSpaceDE w:val="0"/>
      <w:autoSpaceDN w:val="0"/>
      <w:spacing w:before="60" w:after="60"/>
      <w:ind w:right="2033"/>
      <w:rPr>
        <w:rFonts w:ascii="Arial" w:hAnsi="Arial" w:cs="Arial"/>
        <w:bCs/>
        <w:color w:val="767171" w:themeColor="background2" w:themeShade="80"/>
        <w:sz w:val="20"/>
        <w:szCs w:val="20"/>
        <w:lang w:val="es-MX"/>
      </w:rPr>
    </w:pPr>
  </w:p>
  <w:p w14:paraId="56A56BC6" w14:textId="77777777" w:rsidR="0031493E" w:rsidRPr="0031493E" w:rsidRDefault="0031493E" w:rsidP="0031493E">
    <w:pPr>
      <w:autoSpaceDE w:val="0"/>
      <w:autoSpaceDN w:val="0"/>
      <w:spacing w:before="60" w:after="60"/>
      <w:ind w:right="2033"/>
      <w:rPr>
        <w:rFonts w:ascii="Arial" w:hAnsi="Arial" w:cs="Arial"/>
        <w:color w:val="767171" w:themeColor="background2" w:themeShade="80"/>
        <w:sz w:val="20"/>
        <w:szCs w:val="20"/>
        <w:lang w:val="en"/>
      </w:rPr>
    </w:pPr>
    <w:r w:rsidRPr="0031493E">
      <w:rPr>
        <w:rFonts w:ascii="Arial" w:hAnsi="Arial" w:cs="Arial"/>
        <w:bCs/>
        <w:color w:val="767171" w:themeColor="background2" w:themeShade="80"/>
        <w:sz w:val="20"/>
        <w:szCs w:val="20"/>
        <w:lang w:val="es-MX"/>
      </w:rPr>
      <w:t xml:space="preserve">Miltope </w:t>
    </w:r>
    <w:r w:rsidRPr="0031493E">
      <w:rPr>
        <w:rFonts w:ascii="Arial" w:hAnsi="Arial" w:cs="Arial"/>
        <w:color w:val="767171" w:themeColor="background2" w:themeShade="80"/>
        <w:sz w:val="20"/>
        <w:szCs w:val="20"/>
        <w:lang w:val="en"/>
      </w:rPr>
      <w:t>Corporation</w:t>
    </w:r>
  </w:p>
  <w:p w14:paraId="23247DA6" w14:textId="77777777" w:rsidR="0031493E" w:rsidRPr="0031493E" w:rsidRDefault="00545A2B" w:rsidP="0031493E">
    <w:pPr>
      <w:autoSpaceDE w:val="0"/>
      <w:autoSpaceDN w:val="0"/>
      <w:spacing w:before="60" w:after="60"/>
      <w:ind w:right="2033"/>
      <w:rPr>
        <w:rFonts w:ascii="Arial" w:hAnsi="Arial" w:cs="Arial"/>
        <w:color w:val="767171" w:themeColor="background2" w:themeShade="80"/>
        <w:sz w:val="20"/>
        <w:szCs w:val="20"/>
      </w:rPr>
    </w:pPr>
    <w:r>
      <w:rPr>
        <w:rFonts w:ascii="Arial" w:hAnsi="Arial" w:cs="Arial"/>
        <w:color w:val="767171" w:themeColor="background2" w:themeShade="80"/>
        <w:sz w:val="20"/>
        <w:szCs w:val="20"/>
        <w:lang w:val="es-MX"/>
      </w:rPr>
      <w:t>3800 Richardson Road South</w:t>
    </w:r>
  </w:p>
  <w:p w14:paraId="49F5004D" w14:textId="77777777" w:rsidR="0031493E" w:rsidRPr="0031493E" w:rsidRDefault="00545A2B" w:rsidP="0031493E">
    <w:pPr>
      <w:autoSpaceDE w:val="0"/>
      <w:autoSpaceDN w:val="0"/>
      <w:spacing w:before="60" w:after="60"/>
      <w:ind w:right="2033"/>
      <w:rPr>
        <w:rFonts w:ascii="Arial" w:hAnsi="Arial" w:cs="Arial"/>
        <w:color w:val="767171" w:themeColor="background2" w:themeShade="80"/>
        <w:sz w:val="20"/>
        <w:szCs w:val="20"/>
        <w:lang w:val="es-MX"/>
      </w:rPr>
    </w:pPr>
    <w:r>
      <w:rPr>
        <w:rFonts w:ascii="Arial" w:hAnsi="Arial" w:cs="Arial"/>
        <w:color w:val="767171" w:themeColor="background2" w:themeShade="80"/>
        <w:sz w:val="20"/>
        <w:szCs w:val="20"/>
        <w:lang w:val="es-MX"/>
      </w:rPr>
      <w:t>Hope Hull</w:t>
    </w:r>
    <w:r w:rsidR="0031493E" w:rsidRPr="0031493E">
      <w:rPr>
        <w:rFonts w:ascii="Arial" w:hAnsi="Arial" w:cs="Arial"/>
        <w:color w:val="767171" w:themeColor="background2" w:themeShade="80"/>
        <w:sz w:val="20"/>
        <w:szCs w:val="20"/>
        <w:lang w:val="es-MX"/>
      </w:rPr>
      <w:t>, Alabama</w:t>
    </w:r>
    <w:r>
      <w:rPr>
        <w:rFonts w:ascii="Arial" w:hAnsi="Arial" w:cs="Arial"/>
        <w:color w:val="767171" w:themeColor="background2" w:themeShade="80"/>
        <w:sz w:val="20"/>
        <w:szCs w:val="20"/>
        <w:lang w:val="es-MX"/>
      </w:rPr>
      <w:t xml:space="preserve"> 36043</w:t>
    </w:r>
    <w:r w:rsidR="0031493E" w:rsidRPr="0031493E">
      <w:rPr>
        <w:noProof/>
      </w:rPr>
      <w:t xml:space="preserve">        </w:t>
    </w:r>
  </w:p>
  <w:p w14:paraId="57197040" w14:textId="77777777" w:rsidR="0031493E" w:rsidRPr="0031493E" w:rsidRDefault="0031493E" w:rsidP="0031493E">
    <w:pPr>
      <w:autoSpaceDE w:val="0"/>
      <w:autoSpaceDN w:val="0"/>
      <w:spacing w:before="60" w:after="60"/>
      <w:ind w:right="2033"/>
      <w:rPr>
        <w:rFonts w:ascii="Arial" w:hAnsi="Arial" w:cs="Arial"/>
        <w:color w:val="767171" w:themeColor="background2" w:themeShade="80"/>
        <w:sz w:val="20"/>
        <w:szCs w:val="20"/>
      </w:rPr>
    </w:pPr>
    <w:r w:rsidRPr="0031493E">
      <w:rPr>
        <w:rFonts w:ascii="Arial" w:hAnsi="Arial" w:cs="Arial"/>
        <w:color w:val="767171" w:themeColor="background2" w:themeShade="80"/>
        <w:sz w:val="20"/>
        <w:szCs w:val="20"/>
        <w:lang w:val="es-MX"/>
      </w:rPr>
      <w:t>www.mymilltope.com</w:t>
    </w:r>
  </w:p>
  <w:p w14:paraId="05F41EC5" w14:textId="77777777" w:rsidR="0031493E" w:rsidRDefault="0031493E">
    <w:pPr>
      <w:pStyle w:val="Header"/>
    </w:pPr>
  </w:p>
  <w:p w14:paraId="014D250A" w14:textId="77777777" w:rsidR="0031493E" w:rsidRDefault="003149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2803E" w14:textId="77777777" w:rsidR="00824C68" w:rsidRDefault="00824C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493E"/>
    <w:rsid w:val="000F47FF"/>
    <w:rsid w:val="00115234"/>
    <w:rsid w:val="0027134F"/>
    <w:rsid w:val="00294C80"/>
    <w:rsid w:val="0031493E"/>
    <w:rsid w:val="00387438"/>
    <w:rsid w:val="00405AAE"/>
    <w:rsid w:val="00545A2B"/>
    <w:rsid w:val="005B75E0"/>
    <w:rsid w:val="00793C02"/>
    <w:rsid w:val="00823E95"/>
    <w:rsid w:val="00824C68"/>
    <w:rsid w:val="00982C3D"/>
    <w:rsid w:val="00A641D7"/>
    <w:rsid w:val="00AA122D"/>
    <w:rsid w:val="00AB2295"/>
    <w:rsid w:val="00CD7EE0"/>
    <w:rsid w:val="00D81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20351"/>
  <w15:docId w15:val="{C90C37F0-DA6A-4CB9-8397-3FB26AE97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49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493E"/>
  </w:style>
  <w:style w:type="paragraph" w:styleId="Footer">
    <w:name w:val="footer"/>
    <w:basedOn w:val="Normal"/>
    <w:link w:val="FooterChar"/>
    <w:uiPriority w:val="99"/>
    <w:unhideWhenUsed/>
    <w:rsid w:val="003149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493E"/>
  </w:style>
  <w:style w:type="paragraph" w:styleId="BalloonText">
    <w:name w:val="Balloon Text"/>
    <w:basedOn w:val="Normal"/>
    <w:link w:val="BalloonTextChar"/>
    <w:uiPriority w:val="99"/>
    <w:semiHidden/>
    <w:unhideWhenUsed/>
    <w:rsid w:val="00793C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C02"/>
    <w:rPr>
      <w:rFonts w:ascii="Tahoma" w:hAnsi="Tahoma" w:cs="Tahoma"/>
      <w:sz w:val="16"/>
      <w:szCs w:val="16"/>
    </w:rPr>
  </w:style>
  <w:style w:type="paragraph" w:styleId="BodyText">
    <w:name w:val="Body Text"/>
    <w:basedOn w:val="Normal"/>
    <w:link w:val="BodyTextChar"/>
    <w:uiPriority w:val="1"/>
    <w:qFormat/>
    <w:rsid w:val="00982C3D"/>
    <w:pPr>
      <w:widowControl w:val="0"/>
      <w:autoSpaceDE w:val="0"/>
      <w:autoSpaceDN w:val="0"/>
      <w:spacing w:after="0" w:line="240" w:lineRule="auto"/>
    </w:pPr>
    <w:rPr>
      <w:rFonts w:ascii="Arial" w:eastAsia="Arial" w:hAnsi="Arial" w:cs="Arial"/>
      <w:sz w:val="19"/>
      <w:szCs w:val="19"/>
    </w:rPr>
  </w:style>
  <w:style w:type="character" w:customStyle="1" w:styleId="BodyTextChar">
    <w:name w:val="Body Text Char"/>
    <w:basedOn w:val="DefaultParagraphFont"/>
    <w:link w:val="BodyText"/>
    <w:uiPriority w:val="1"/>
    <w:rsid w:val="00982C3D"/>
    <w:rPr>
      <w:rFonts w:ascii="Arial" w:eastAsia="Arial" w:hAnsi="Arial" w:cs="Arial"/>
      <w:sz w:val="19"/>
      <w:szCs w:val="19"/>
    </w:rPr>
  </w:style>
  <w:style w:type="character" w:styleId="Hyperlink">
    <w:name w:val="Hyperlink"/>
    <w:basedOn w:val="DefaultParagraphFont"/>
    <w:uiPriority w:val="99"/>
    <w:unhideWhenUsed/>
    <w:rsid w:val="00982C3D"/>
    <w:rPr>
      <w:color w:val="0563C1" w:themeColor="hyperlink"/>
      <w:u w:val="single"/>
    </w:rPr>
  </w:style>
  <w:style w:type="character" w:styleId="UnresolvedMention">
    <w:name w:val="Unresolved Mention"/>
    <w:basedOn w:val="DefaultParagraphFont"/>
    <w:uiPriority w:val="99"/>
    <w:semiHidden/>
    <w:unhideWhenUsed/>
    <w:rsid w:val="00982C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D5FEDCC32C6F44BF433499CD352DDA" ma:contentTypeVersion="0" ma:contentTypeDescription="Create a new document." ma:contentTypeScope="" ma:versionID="3ee9dea0b46c40929eba447b4ef844e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DBA0ACCA-A363-40BD-97CF-38FE8C8107B3}">
  <ds:schemaRefs>
    <ds:schemaRef ds:uri="http://schemas.microsoft.com/sharepoint/v3/contenttype/forms"/>
  </ds:schemaRefs>
</ds:datastoreItem>
</file>

<file path=customXml/itemProps2.xml><?xml version="1.0" encoding="utf-8"?>
<ds:datastoreItem xmlns:ds="http://schemas.openxmlformats.org/officeDocument/2006/customXml" ds:itemID="{DEB3C0DB-24CD-41E3-B284-E39836848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2FEBFF7-6AA7-43B1-9BA1-41CDF6BF48D8}">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Perkins, Alora</dc:creator>
  <cp:lastModifiedBy>Hilyer, Erskine</cp:lastModifiedBy>
  <cp:revision>3</cp:revision>
  <dcterms:created xsi:type="dcterms:W3CDTF">2025-01-30T18:59:00Z</dcterms:created>
  <dcterms:modified xsi:type="dcterms:W3CDTF">2025-02-10T18:52:00Z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0x010100CCD5FEDCC32C6F44BF433499CD352DDA</vt:lpwstr>
  </property>
  <property fmtid="{D5CDD505-2E9C-101B-9397-08002B2CF9AE}" pid="3" name="MSIP_Label_60328131-e5ef-4091-8617-2874d1df18a6_Enabled">
    <vt:lpwstr>true</vt:lpwstr>
  </property>
  <property fmtid="{D5CDD505-2E9C-101B-9397-08002B2CF9AE}" pid="4" name="MSIP_Label_60328131-e5ef-4091-8617-2874d1df18a6_SetDate">
    <vt:lpwstr>2024-05-29T20:34:17Z</vt:lpwstr>
  </property>
  <property fmtid="{D5CDD505-2E9C-101B-9397-08002B2CF9AE}" pid="5" name="MSIP_Label_60328131-e5ef-4091-8617-2874d1df18a6_Method">
    <vt:lpwstr>Privileged</vt:lpwstr>
  </property>
  <property fmtid="{D5CDD505-2E9C-101B-9397-08002B2CF9AE}" pid="6" name="MSIP_Label_60328131-e5ef-4091-8617-2874d1df18a6_Name">
    <vt:lpwstr>Unrestricted</vt:lpwstr>
  </property>
  <property fmtid="{D5CDD505-2E9C-101B-9397-08002B2CF9AE}" pid="7" name="MSIP_Label_60328131-e5ef-4091-8617-2874d1df18a6_SiteId">
    <vt:lpwstr>ceaa7cb9-628b-4e40-9c72-3985fb342ff0</vt:lpwstr>
  </property>
  <property fmtid="{D5CDD505-2E9C-101B-9397-08002B2CF9AE}" pid="8" name="MSIP_Label_60328131-e5ef-4091-8617-2874d1df18a6_ActionId">
    <vt:lpwstr>3414dab1-f0a9-40fc-84c9-44263aa388bb</vt:lpwstr>
  </property>
  <property fmtid="{D5CDD505-2E9C-101B-9397-08002B2CF9AE}" pid="9" name="MSIP_Label_60328131-e5ef-4091-8617-2874d1df18a6_ContentBits">
    <vt:lpwstr>0</vt:lpwstr>
  </property>
</Properties>
</file>